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(biennio)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AREA SPECIFICA</w:t>
      </w:r>
    </w:p>
    <w:tbl>
      <w:tblPr>
        <w:tblStyle w:val="Table4"/>
        <w:tblW w:w="12616.999999999998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2"/>
        <w:gridCol w:w="1853"/>
        <w:gridCol w:w="2693"/>
        <w:gridCol w:w="3828"/>
        <w:gridCol w:w="1701"/>
        <w:tblGridChange w:id="0">
          <w:tblGrid>
            <w:gridCol w:w="2542"/>
            <w:gridCol w:w="1853"/>
            <w:gridCol w:w="2693"/>
            <w:gridCol w:w="3828"/>
            <w:gridCol w:w="1701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Collaborare nella gestione di progetti e attività dei servizi sociali, socio-sanitari e socio-educativi, rivolti a bambini e adolescenti, persone con disabilità, anziani, minori a rischio, soggetti con disagio psico-sociale e altri soggetti in situazione di svantaggio, anche attraverso lo sviluppo di reti territoriali formali e informali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Costruire mappe dei servizi sociali, socio-sanitari e socio-educativi disponibili nel territorio e delle principali prestazioni erogate  alle diverse tipologie di utenza.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9" w:right="145" w:firstLine="4.0000000000000036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Il Welfare State in Italia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Fonti e documenti per la rilevazione dei servizi territoriali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Tipologia dei servizi sociali, socio-educativi, socio sanitari, sanitari.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Tipologia di utenza dei servizi sociali, socio-educativi, sociosanitari e sanitari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Le agenzie di socializzazione nelle reti territoriali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I principi di sussidiarietà nell’organizzazione dei servizi.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Scientifico-tecnologico e professionale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Storico-sociale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Partecipare e cooperare nei gruppi di lavoro e nelle équipe multi-professionali in diversi contesti organizzativi /lavorativi. 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1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Partecipare e cooperare in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gruppi di lavoro all’interno di contesti noti e strutturati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1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1"/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  <w:rtl w:val="0"/>
              </w:rPr>
              <w:t xml:space="preserve">Il gruppo e le sue dinamiche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  <w:rtl w:val="0"/>
              </w:rPr>
              <w:t xml:space="preserve">Il processo di socializzazione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  <w:rtl w:val="0"/>
              </w:rPr>
              <w:t xml:space="preserve"> Gli aspetti emotivo - motivazionali dell’essere umano: le emozioni e le loro manifestazioni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highlight w:val="white"/>
                <w:rtl w:val="0"/>
              </w:rPr>
              <w:t xml:space="preserve">Modi, forme e funzioni della comunicazione.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Scientifico-tecnologico e professionale</w:t>
            </w:r>
          </w:p>
          <w:p w:rsidR="00000000" w:rsidDel="00000000" w:rsidP="00000000" w:rsidRDefault="00000000" w:rsidRPr="00000000" w14:paraId="0000006E">
            <w:pPr>
              <w:keepNext w:val="1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Asse dei linguaggi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Facilitare la comunicazione tra persone e gruppi, anche di culture e contesti diversi, adottando modalità comunicative e relazionali adeguate ai diversi ambiti professionali e alle diverse tipologie di utenza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Agire per favorire il superamento di  stereotipi e pregiudizi nei contesti di vita quotidiana.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Culture, contesti, gruppi sociali, pregiudizi e stereotipi. 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Principali agenzie di educazione e socializzazione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Tecniche e strumenti per la comunicazione multimediale e nei social media.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Dati sensibili e dati pubblici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La normativa sulla privacy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linguaggi 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storico-sociale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scientifico, tecnologico e professionale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Prendersi cura e collaborare al soddisfacimento dei bisogni di base di bambini, persone con disabilità, anziani nell’espletamento delle più comuni attività quotidiane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Rilevare, in modo guidato, condizioni, stili di vita e bisogni legati all’età.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50" w:line="288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Elementi di anatomia e fisiologia umana</w:t>
            </w:r>
          </w:p>
          <w:p w:rsidR="00000000" w:rsidDel="00000000" w:rsidP="00000000" w:rsidRDefault="00000000" w:rsidRPr="00000000" w14:paraId="00000089">
            <w:pPr>
              <w:spacing w:after="150" w:line="288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Funzioni e organizzazione del corpo umano </w:t>
            </w:r>
          </w:p>
          <w:p w:rsidR="00000000" w:rsidDel="00000000" w:rsidP="00000000" w:rsidRDefault="00000000" w:rsidRPr="00000000" w14:paraId="0000008A">
            <w:pPr>
              <w:spacing w:after="150" w:line="288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Principi di una corretta alimentazione e di una regolare attività fisica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 I principali bisogni legati all’età e alle condizioni dell’individuo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n°5: 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Partecipare alla presa in carico socio-assistenziale di soggetti le cui condizioni determinino uno stato di non autosufficienza parziale o totale, di terminalità, di compromissione delle capacità cognitive e motorie, applicando procedure e tecniche stabilite e facendo uso dei principali ausili e presidi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Assumere atteggiamenti orientati alla tutela della salute propria e altrui, nell’ottica della presa in carico della persona nel suo insieme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Le condizioni di salute bio-psico-sociale e le condizioni di malattia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I soggetti che partecipano alla presa in carico della persona malata e i loro compiti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6: </w:t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Curare l’allestimento dell’ambiente di vita della persona in difficoltà con riferimento alle misure per la salvaguardia della sua sicurezza e incolumità, anche provvedendo alla promozione e al mantenimento delle capacità residue e della autonomia nel proprio ambiente di vita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DIRITTO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Assumere condotte nel rispetto delle norme di sicurezza limitando i comportamenti a rischio.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 norme sociali e norme giuridiche</w:t>
            </w:r>
          </w:p>
          <w:p w:rsidR="00000000" w:rsidDel="00000000" w:rsidP="00000000" w:rsidRDefault="00000000" w:rsidRPr="00000000" w14:paraId="0000009E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Rischi, pericoli e sicurezza 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L’ambiente e l’eco-sistema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scientifico, tecnologico e professionale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 sociale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7: 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Gestire azioni di informazione e di orientamento dell’utente per facilitare l’accessibilità e la fruizione autonoma dei servizi pubblici e privati presenti sul territorio 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Predisporre e presentare semplici testi e materiali divulgativi inerenti i servizi presenti sul territorio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Il segretariato sociale: compiti e funzioni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Tipologie di testi e materiali divulgativi e informativi 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Modalità di presentazione e diffusione delle informazione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dei linguaggi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8: Realizzare in autonomia o in collaborazione con altre figure professionali, attività educative, di animazione sociale, ludiche e culturali adeguate ai diversi contesti e ai diversi bisogni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Realizzare semplici attività di animazione ludica e sociale in contesti noti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Obiettivi e tecniche dell’animazione ludica e sociale anche con strumenti multimediali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Tecniche ludico-motorie: attività fisiche e sportive come strumento educativo, di animazione e di socializzazione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Scientifico, tecnologico e professionale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dei linguaggi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Scienze motorie 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10: </w:t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Raccogliere, conservare, elaborare e trasmettere dati relativi alle attività professionali svolte ai fini del monitoraggio e della valutazione degli interventi e dei servizi utilizzando adeguati strumenti informativi in condizioni di sicurezza e affidabilità delle fonti utilizzate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Utilizzare i più diffusi applicativi web based e offline per raccogliere, e organizzare dati qualitativi e quantitativi di una realtà sociale o relativi ad un servizio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Caratteristiche delle diverse tipologie di hardware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Principali software per la gestione dei dati e dei flussi informativi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Le reti di comunicazione e le condizioni di sicurezza nella trasmissione dei dati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Tecniche di rilevazioni dati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Tecniche e modalità di raccolta e archiviazione dati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Siti web e social network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Servizi internet: navigazione, ricerca informazioni sui principali motori di ricerca, posta elettronica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Strumenti di analisi delle caratteristiche e dei contenuti di siti web e dei social network 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9d9d9"/>
                <w:sz w:val="20"/>
                <w:szCs w:val="20"/>
                <w:rtl w:val="0"/>
              </w:rPr>
              <w:t xml:space="preserve">Elementi di statistica descrittiva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Scientifico-tecnologico e professionale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Matematico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510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2160"/>
        <w:gridCol w:w="2955"/>
        <w:gridCol w:w="4890"/>
        <w:tblGridChange w:id="0">
          <w:tblGrid>
            <w:gridCol w:w="2505"/>
            <w:gridCol w:w="2160"/>
            <w:gridCol w:w="2955"/>
            <w:gridCol w:w="489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Nuclei tematici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Contenuti suggeriti</w:t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Costituzione diritto, legalità̀ e solidarietà̀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Saper comprendere i valori della Costituzione e le attività̀ delle Istituzioni preposte alla regolamentazione dei rapporti civili, sociali ed economici, in modo che diventino patrimonio culturale degli alunni.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Conoscere l’organizzazione costituzionale ed amministrativa del nostro Paese per rispondere ai propri doveri di cittadino ed esercitare con consapevolezza i propri diritti politici a livello territoriale e nazionale. Conoscere i valori che ispirano gli ordinamenti comunitari e internazionali, nonché́ i loro compiti e</w:t>
              <w:br w:type="textWrapping"/>
              <w:t xml:space="preserve">funzioni essenziali.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Sviluppo sostenibile, educazione ambientale, conoscenza e tutela del patrimonio e del territorio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Saper conoscere attraverso l’utilizzo delle diverse forme espressive degli studenti per educare alla democrazia, alla legalità̀, all’essere cittadini attivi​.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L’ecologia e l’educazione al rispetto ambientale e al patrimonio storico e artistico della Nazione.</w:t>
            </w:r>
          </w:p>
          <w:p w:rsidR="00000000" w:rsidDel="00000000" w:rsidP="00000000" w:rsidRDefault="00000000" w:rsidRPr="00000000" w14:paraId="000000EC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Tutela degli ecosistemi.</w:t>
            </w:r>
          </w:p>
          <w:p w:rsidR="00000000" w:rsidDel="00000000" w:rsidP="00000000" w:rsidRDefault="00000000" w:rsidRPr="00000000" w14:paraId="000000ED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Educazione alla salute.</w:t>
            </w:r>
          </w:p>
          <w:p w:rsidR="00000000" w:rsidDel="00000000" w:rsidP="00000000" w:rsidRDefault="00000000" w:rsidRPr="00000000" w14:paraId="000000EE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Educazione alla sicurezza stradale.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Cittadinanza digitale.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Essere Cittadini attivi nell’utilizzo della rete e acquisire consapevolezza degli effetti delle azioni del singolo nella rete e di una nuova forma di responsabilità̀ privata e collettiva, con l’obiettivo di prevenire anche azioni di “cyberbullismo”.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hd w:fill="ffffff" w:val="clear"/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Formazione tecnologica. I ruoli. I social network e i problemi legati alla privacy. Bullismo e cyberbullismo.</w:t>
            </w:r>
          </w:p>
        </w:tc>
      </w:tr>
    </w:tbl>
    <w:p w:rsidR="00000000" w:rsidDel="00000000" w:rsidP="00000000" w:rsidRDefault="00000000" w:rsidRPr="00000000" w14:paraId="000000F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 U.d.A. riferite alle singole discipline sono esplicitate nella  programmazione disciplinare, si allegano alla programmazione di classe le U.d.A. multidisciplinari </w:t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4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62"/>
        <w:tblGridChange w:id="0">
          <w:tblGrid>
            <w:gridCol w:w="13462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0FA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6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03"/>
        <w:tblGridChange w:id="0">
          <w:tblGrid>
            <w:gridCol w:w="136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105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106">
            <w:pPr>
              <w:spacing w:line="36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0F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1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1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21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22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2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36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3B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C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D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3E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42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43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44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45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7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48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9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A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B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4C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0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D7368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BA5181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BA51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DD7368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DD7368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7368"/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gUFCFPAaGnDnDDzr+pN/l0/Ig==">CgMxLjA4AGpUCjVzdWdnZXN0SWRJbXBvcnRiZjNjY2RjMS1kZTI3LTRlODItYmFkMi03ZDkzMGFmYjFlMjNfMRIbQ29sbGFib3JhdG9yaSBkZWwgRGlyaWdlbnRlciExUUlERk1lY0Z2NHVodXlUc0kxUHdzR1JxdEdnQ3FuY2Q=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2023-09-09T12:33:00Z</dcterms:created>
  <dc:creator>Poloni, Andrea</dc:creator>
</cp:coreProperties>
</file>