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SPECIFICA</w:t>
      </w:r>
    </w:p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865.0" w:type="dxa"/>
        <w:jc w:val="left"/>
        <w:tblInd w:w="30.9999999999999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860"/>
        <w:gridCol w:w="2700"/>
        <w:gridCol w:w="3825"/>
        <w:gridCol w:w="1695"/>
        <w:tblGridChange w:id="0">
          <w:tblGrid>
            <w:gridCol w:w="1785"/>
            <w:gridCol w:w="1860"/>
            <w:gridCol w:w="2700"/>
            <w:gridCol w:w="3825"/>
            <w:gridCol w:w="1695"/>
          </w:tblGrid>
        </w:tblGridChange>
      </w:tblGrid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UDA/MATERIE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° 1: Realizzare e curare la manutenzione di ausili e/o dispositivi ottici con funzione correttiva, sostitutiva,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integrativa ed estetica per il benessere visivo della persona su prescrizione medica o con proprie misurazioni, utilizzando materiali,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strumentazioni e tecniche di lavorazione adeguate.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 e curare la manutenzione di ausili e/o dispositivi ottici con funzione correttiva, sostitutiva, integrativa ed estetica per il benessere visivo della persona su prescrizione medica o con proprie misurazioni, utilizzando materiali,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strumentazioni e tecniche di lavorazione adeguate.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Ingrandimento ottico con lenti convergenti.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Lenti prismatiche per il miglioramento della performance visiva nella ipovisione.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matematico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Assistere tecnicamente il cliente nella selezione della montatura e delle lenti oftalmiche sulla base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dell’ausilio ottico, del problema visivo, delle caratteristiche fisiche della persona, delle specifiche necessità d’uso e di sicurezza,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dell’ergonomia e delle abitudini e informarlo sull’uso e sulla corretta manutenzione degli ausili ottici forniti.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Assistere tecnicamente il cliente nella selezione della montatura e delle lenti oftalmiche sulla base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dell’ausilio ottico, del problema visivo, delle caratteristiche fisiche della persona, delle specifiche necessità d’uso e di sicurezza,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dell’ergonomia e delle abitudini e informarlo sull’uso e sulla corretta manutenzione degli ausili ottici forniti.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Limitazioni dell’autonomia dell’individuo a causa della permanente riduzione della funzione visiva (ipovisione).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Normativa italiana in tema di ipovisione.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Effettuare, con adeguate tecnologie e nei casi consentiti dalla normativa vigente, l’esame delle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abilità visive e della capacità visiva binoculare in relazione alla progettazione e all’assemblaggio degli ausili ottici necessari,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segnalando all’attenzione medica eventuali condizioni del cliente che indichino anomalie degli occhi e della salute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Effettuare, con adeguate tecnologie e nei casi consentiti dalla normativa vigente, l’esame delle abilità visive e della capacità visiva binoculare in relazione alla progettazione e all’assemblaggio degli ausili ottici necessari, segnalando all’attenzione medica eventuali condizioni del cliente che indichino anomalie degli occhi e della salute.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Struttura di un esame optometrico, scheda d’esame, ordine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sequenziale delle fasi in un controllo visivo.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Criteri correttivi della presbiopia.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Correzione refrattiva ed equilibrio binoculare.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Caratteristiche e risorse di uno studio optometrico.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Principi di visual training.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Collaborare alla gestione, dal punto di vista aziendale, del reparto/settore/punto vendita,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coadiuvando le attività amministrative e di promozione e commercializzazione dei prodotti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Collaborare alla gestione, dal punto di vista aziendale, del reparto/settore/punto vendita,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coadiuvando le attività amministrative e di promozione e commercializzazione dei prodotti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Software per la creazione di presentazioni multimediali.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160" w:line="259" w:lineRule="auto"/>
              <w:rPr>
                <w:rFonts w:ascii="Calibri" w:cs="Calibri" w:eastAsia="Calibri" w:hAnsi="Calibri"/>
                <w:color w:val="d9d9d9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Software gestionale specifico per i centri ottici.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Gestire l’applicazione di lenti a contatto per la compensazione di tutti i difetti visivi seguendo una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prescrizione, curando l’attività post-vendita di controllo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Gestire l’applicazione di lenti a contatto per la compensazione di tutti i difetti visivi seguendo una</w:t>
            </w:r>
          </w:p>
          <w:p w:rsidR="00000000" w:rsidDel="00000000" w:rsidP="00000000" w:rsidRDefault="00000000" w:rsidRPr="00000000" w14:paraId="00000096">
            <w:pPr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prescrizione, curando l’attività post-vendita di controllo.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Geometria e metodi di stabilizzazione delle lenti a contatto morbide per l’astigmatismo.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Lenti a contatto e modalità correttive della presbiopia.</w:t>
            </w:r>
          </w:p>
          <w:p w:rsidR="00000000" w:rsidDel="00000000" w:rsidP="00000000" w:rsidRDefault="00000000" w:rsidRPr="00000000" w14:paraId="0000009A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Lenti a contatto colorate e a scopo terapeutico.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Trattamento con lenti a contatto di cornee con profilo irregolare.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Manutenzione delle lenti a contatto.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Indicazioni al corretto utilizzo delle lenti a contatto, le avvertenze, le precauzioni e rischi collegati all'uso di lenti a contatto.</w:t>
            </w:r>
          </w:p>
          <w:p w:rsidR="00000000" w:rsidDel="00000000" w:rsidP="00000000" w:rsidRDefault="00000000" w:rsidRPr="00000000" w14:paraId="0000009E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d9d9d9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d9d9d9"/>
                <w:sz w:val="20"/>
                <w:szCs w:val="20"/>
                <w:rtl w:val="0"/>
              </w:rPr>
              <w:t xml:space="preserve">Cenni sul trattamento ortocheratologico.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d9d9d9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A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6: Curare l’organizzazione dello studio di optometria e di contattologia con particolare attenzione alla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sicurezza del luogo di lavoro, all’igiene e alla salvaguardia ambientale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EDUCAZIONE CIVICA</w:t>
      </w:r>
    </w:p>
    <w:p w:rsidR="00000000" w:rsidDel="00000000" w:rsidP="00000000" w:rsidRDefault="00000000" w:rsidRPr="00000000" w14:paraId="000000A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7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2833"/>
        <w:gridCol w:w="2833"/>
        <w:gridCol w:w="4678"/>
        <w:tblGridChange w:id="0">
          <w:tblGrid>
            <w:gridCol w:w="2407"/>
            <w:gridCol w:w="2833"/>
            <w:gridCol w:w="2833"/>
            <w:gridCol w:w="46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legalità e solidarietà 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Perseguire con ogni mezzo e in ogni contesto il principio di legalità e di solidarietà dell’azione individuale e sociale, promuovendo principi, valori e abiti di contrasto alla criminalità organizzata e alle mafie. 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Prendere coscienza delle situazioni e delle forme del disagio giovanile ed adulto nella società contemporanea e comportarsi in modo da promuovere il benessere fisico, psicologico, morale e sociale.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Compiere le scelte di partecipazione alla vita pubblica e di cittadinanza coerentemente agli obiettivi di sostenibilità sanciti a livello comunitario attraverso l’Agenda 2030 per lo sviluppo sostenibile. 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Operare a favore dello sviluppo eco-sostenibile e della tutela delle identità e delle eccellenze produttive del Paese.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finanziaria.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Esercitare i principi della cittadinanza digitale, con competenza e coerenza rispetto al sistema integrato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valori che regolano la vita democratica. 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Avviare, attraverso la rete, un proprio orientamento verso una attività lavorativa 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25"/>
        <w:tblGridChange w:id="0">
          <w:tblGrid>
            <w:gridCol w:w="12825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0C8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C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15"/>
        <w:tblGridChange w:id="0">
          <w:tblGrid>
            <w:gridCol w:w="12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0D0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0D1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classe.</w:t>
            </w:r>
          </w:p>
          <w:p w:rsidR="00000000" w:rsidDel="00000000" w:rsidP="00000000" w:rsidRDefault="00000000" w:rsidRPr="00000000" w14:paraId="000000D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D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0D7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0D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0E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0E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0E9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0EA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E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0E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E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0F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F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0FE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0F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0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04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05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06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28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568"/>
      <w:gridCol w:w="5647"/>
      <w:gridCol w:w="997"/>
      <w:gridCol w:w="1416"/>
      <w:tblGridChange w:id="0">
        <w:tblGrid>
          <w:gridCol w:w="1568"/>
          <w:gridCol w:w="5647"/>
          <w:gridCol w:w="997"/>
          <w:gridCol w:w="14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0A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" name="image1.jpg"/>
                <a:graphic>
                  <a:graphicData uri="http://schemas.openxmlformats.org/drawingml/2006/picture">
                    <pic:pic>
                      <pic:nvPicPr>
                        <pic:cNvPr descr="LOGO1_prova 4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0B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0C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0D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F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10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1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2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3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14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8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D4267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DD4267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DD42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DD4267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DD4267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D4267"/>
    <w:rPr>
      <w:sz w:val="22"/>
      <w:szCs w:val="22"/>
    </w:rPr>
  </w:style>
  <w:style w:type="paragraph" w:styleId="NormaleWeb">
    <w:name w:val="Normal (Web)"/>
    <w:basedOn w:val="Normale"/>
    <w:uiPriority w:val="99"/>
    <w:unhideWhenUsed w:val="1"/>
    <w:rsid w:val="00DD42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mwOUgkhEKx1v4SGturkzJSGMQ==">CgMxLjA4AHIhMUIyUnRrdEkxV1hfRmZDenZxUndHYjdCODlhOGtzYTAw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Poloni, Andrea</dc:creator>
</cp:coreProperties>
</file>