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50E11" w14:textId="77777777" w:rsidR="001B637C" w:rsidRDefault="00000000">
      <w:pPr>
        <w:rPr>
          <w:b/>
        </w:rPr>
      </w:pPr>
      <w:r>
        <w:rPr>
          <w:b/>
        </w:rPr>
        <w:t>PROGRAMMA DISCIPLINARE CLASSE PRIMA</w:t>
      </w:r>
    </w:p>
    <w:p w14:paraId="25694911" w14:textId="77777777" w:rsidR="001B637C" w:rsidRDefault="00000000">
      <w:pPr>
        <w:rPr>
          <w:b/>
        </w:rPr>
      </w:pPr>
      <w:r>
        <w:rPr>
          <w:b/>
        </w:rPr>
        <w:t xml:space="preserve">Libro di testo in adozione: </w:t>
      </w:r>
    </w:p>
    <w:p w14:paraId="5324CF11" w14:textId="77777777" w:rsidR="001B637C" w:rsidRDefault="001B637C">
      <w:pPr>
        <w:ind w:left="360"/>
        <w:rPr>
          <w:b/>
        </w:rPr>
      </w:pPr>
    </w:p>
    <w:p w14:paraId="4628B15E" w14:textId="77777777" w:rsidR="001B637C" w:rsidRDefault="00000000">
      <w:pPr>
        <w:rPr>
          <w:b/>
        </w:rPr>
      </w:pPr>
      <w:r>
        <w:rPr>
          <w:b/>
        </w:rPr>
        <w:t>“Il corpo umano. Anatomia, Fisiologia, Igiene” di Sandro Barbone e Teresa Infortuna. Editore: Lucisano. Seconda edizione (vol.1)</w:t>
      </w:r>
    </w:p>
    <w:p w14:paraId="22293619" w14:textId="77777777" w:rsidR="001B637C" w:rsidRDefault="001B637C">
      <w:pPr>
        <w:rPr>
          <w:b/>
        </w:rPr>
      </w:pPr>
    </w:p>
    <w:p w14:paraId="220D137B" w14:textId="77777777" w:rsidR="001B63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 livelli di organizzazione della materia vivente</w:t>
      </w:r>
    </w:p>
    <w:p w14:paraId="6AB12A93" w14:textId="77777777" w:rsidR="001B63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Il linguaggio anatomico; piani di riferimento utilizzati in anatomia</w:t>
      </w:r>
    </w:p>
    <w:p w14:paraId="29BB41E4" w14:textId="77777777" w:rsidR="001B63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Elementi di citologia: la cellula animale: struttura e funzione</w:t>
      </w:r>
    </w:p>
    <w:p w14:paraId="0FDB7E4E" w14:textId="77777777" w:rsidR="001B63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Elementi d’istologia: la classificazione dei principali tessuti</w:t>
      </w:r>
    </w:p>
    <w:p w14:paraId="72892BD5" w14:textId="77777777" w:rsidR="001B63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Apparato visivo: cenni su struttura e funzione</w:t>
      </w:r>
    </w:p>
    <w:p w14:paraId="13637EBF" w14:textId="77777777" w:rsidR="001B63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Apparato tegumentario: struttura e funzione</w:t>
      </w:r>
    </w:p>
    <w:p w14:paraId="6B021C4F" w14:textId="77777777" w:rsidR="001B63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Brevi cenni sulle principali patologie degli apparati trattati</w:t>
      </w:r>
    </w:p>
    <w:p w14:paraId="4B04E202" w14:textId="77777777" w:rsidR="001B637C" w:rsidRDefault="001B637C"/>
    <w:p w14:paraId="155F425E" w14:textId="77777777" w:rsidR="001B637C" w:rsidRDefault="001B637C">
      <w:pPr>
        <w:ind w:left="360"/>
        <w:rPr>
          <w:b/>
        </w:rPr>
      </w:pPr>
    </w:p>
    <w:p w14:paraId="0281C93F" w14:textId="77777777" w:rsidR="001B637C" w:rsidRDefault="00000000">
      <w:pPr>
        <w:rPr>
          <w:b/>
        </w:rPr>
      </w:pPr>
      <w:r>
        <w:rPr>
          <w:b/>
        </w:rPr>
        <w:t>PROGRAMMA DISCIPLINARE CLASSE SECONDA</w:t>
      </w:r>
    </w:p>
    <w:p w14:paraId="48123919" w14:textId="77777777" w:rsidR="001B637C" w:rsidRDefault="00000000">
      <w:pPr>
        <w:rPr>
          <w:b/>
        </w:rPr>
      </w:pPr>
      <w:r>
        <w:rPr>
          <w:b/>
        </w:rPr>
        <w:t xml:space="preserve">Libro di testo in adozione: </w:t>
      </w:r>
    </w:p>
    <w:p w14:paraId="7E254B4C" w14:textId="77777777" w:rsidR="001B637C" w:rsidRDefault="001B637C">
      <w:pPr>
        <w:rPr>
          <w:b/>
        </w:rPr>
      </w:pPr>
    </w:p>
    <w:p w14:paraId="77C6A3EF" w14:textId="77777777" w:rsidR="001B637C" w:rsidRDefault="00000000">
      <w:pPr>
        <w:ind w:left="360"/>
        <w:rPr>
          <w:b/>
        </w:rPr>
      </w:pPr>
      <w:r>
        <w:rPr>
          <w:b/>
        </w:rPr>
        <w:t>“Il corpo umano. Anatomia, Fisiologia, Igiene” di Sandro Barbone e Teresa Infortuna. Editore: Lucisano. Seconda edizione (vol.1)</w:t>
      </w:r>
    </w:p>
    <w:p w14:paraId="1A8BF572" w14:textId="77777777" w:rsidR="001B637C" w:rsidRDefault="001B637C">
      <w:pPr>
        <w:rPr>
          <w:b/>
        </w:rPr>
      </w:pPr>
    </w:p>
    <w:p w14:paraId="0653E65E" w14:textId="77777777" w:rsidR="001B63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L’apparato digerente: struttura e funzione.</w:t>
      </w:r>
    </w:p>
    <w:p w14:paraId="5BB9505B" w14:textId="77777777" w:rsidR="001B63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L’apparato cardio-circolatorio: struttura e funzione</w:t>
      </w:r>
    </w:p>
    <w:p w14:paraId="6F4C9357" w14:textId="77777777" w:rsidR="001B63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Cenni sul sistema linfatico e immunitario</w:t>
      </w:r>
    </w:p>
    <w:p w14:paraId="67BD5A1A" w14:textId="77777777" w:rsidR="001B63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Cenni di Anatomia e Fisiologia del bulbo oculare</w:t>
      </w:r>
    </w:p>
    <w:p w14:paraId="66368E0E" w14:textId="77777777" w:rsidR="001B63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Cenni sulle principali patologie degli apparati trattati</w:t>
      </w:r>
    </w:p>
    <w:p w14:paraId="55F49D87" w14:textId="77777777" w:rsidR="001B637C" w:rsidRDefault="001B637C"/>
    <w:p w14:paraId="244C3A35" w14:textId="77777777" w:rsidR="001B637C" w:rsidRDefault="00000000">
      <w:pPr>
        <w:rPr>
          <w:b/>
        </w:rPr>
      </w:pPr>
      <w:r>
        <w:rPr>
          <w:b/>
        </w:rPr>
        <w:t>PROGRAMMA DISCIPLINARE CLASSE TERZA</w:t>
      </w:r>
    </w:p>
    <w:p w14:paraId="1B61C7E4" w14:textId="77777777" w:rsidR="001B637C" w:rsidRDefault="00000000">
      <w:pPr>
        <w:rPr>
          <w:b/>
        </w:rPr>
      </w:pPr>
      <w:r>
        <w:rPr>
          <w:b/>
        </w:rPr>
        <w:t xml:space="preserve">Libri di testo in adozione: </w:t>
      </w:r>
    </w:p>
    <w:p w14:paraId="113E37FE" w14:textId="77777777" w:rsidR="001B637C" w:rsidRDefault="001B637C">
      <w:pPr>
        <w:ind w:left="360"/>
        <w:rPr>
          <w:b/>
        </w:rPr>
      </w:pPr>
    </w:p>
    <w:p w14:paraId="1AF6CDAA" w14:textId="77777777" w:rsidR="001B637C" w:rsidRDefault="00000000">
      <w:pPr>
        <w:ind w:left="360"/>
        <w:rPr>
          <w:b/>
        </w:rPr>
      </w:pPr>
      <w:r>
        <w:rPr>
          <w:b/>
        </w:rPr>
        <w:t>“Lezioni di Anatomia e fisiopatologia oculare per studenti di optometria” di Valerio Lupi Fabiano Editore</w:t>
      </w:r>
    </w:p>
    <w:p w14:paraId="093CA3B1" w14:textId="77777777" w:rsidR="001B637C" w:rsidRDefault="001B637C">
      <w:pPr>
        <w:ind w:left="360"/>
        <w:rPr>
          <w:b/>
        </w:rPr>
      </w:pPr>
    </w:p>
    <w:p w14:paraId="766061DD" w14:textId="77777777" w:rsidR="001B637C" w:rsidRDefault="00000000">
      <w:pPr>
        <w:ind w:left="360"/>
        <w:rPr>
          <w:b/>
        </w:rPr>
      </w:pPr>
      <w:r>
        <w:rPr>
          <w:b/>
        </w:rPr>
        <w:t xml:space="preserve"> “Il corpo umano. Anatomia, Fisiologia, Igiene” di Sandro Barbone e Teresa Infortuna. Editore: Lucisano. Seconda edizione (vol.2)</w:t>
      </w:r>
    </w:p>
    <w:p w14:paraId="6A974DB3" w14:textId="77777777" w:rsidR="001B637C" w:rsidRDefault="001B637C">
      <w:pPr>
        <w:rPr>
          <w:b/>
        </w:rPr>
      </w:pPr>
    </w:p>
    <w:p w14:paraId="498CB3F4" w14:textId="77777777" w:rsidR="001B637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Il Sistema Nervoso: struttura e funzione</w:t>
      </w:r>
    </w:p>
    <w:p w14:paraId="35E06F02" w14:textId="77777777" w:rsidR="001B637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Classificazione del Sistema Nervoso</w:t>
      </w:r>
    </w:p>
    <w:p w14:paraId="7E0F719F" w14:textId="77777777" w:rsidR="001B637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Apparato visivo: struttura e funzione</w:t>
      </w:r>
    </w:p>
    <w:p w14:paraId="3186CF0F" w14:textId="77777777" w:rsidR="001B637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Le vie ottiche retro bulbari.</w:t>
      </w:r>
    </w:p>
    <w:p w14:paraId="1BC23450" w14:textId="77777777" w:rsidR="001B637C" w:rsidRDefault="001B637C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045DADF1" w14:textId="77777777" w:rsidR="001B637C" w:rsidRDefault="00000000">
      <w:r>
        <w:rPr>
          <w:b/>
        </w:rPr>
        <w:t>PROGRAMMA DISCIPLINARE CLASSE QUARTA</w:t>
      </w:r>
    </w:p>
    <w:p w14:paraId="18E6B7F7" w14:textId="77777777" w:rsidR="001B637C" w:rsidRDefault="00000000">
      <w:pPr>
        <w:rPr>
          <w:b/>
        </w:rPr>
      </w:pPr>
      <w:r>
        <w:rPr>
          <w:b/>
        </w:rPr>
        <w:t xml:space="preserve">Libri di testo in adozione: </w:t>
      </w:r>
    </w:p>
    <w:p w14:paraId="662C4828" w14:textId="77777777" w:rsidR="001B637C" w:rsidRDefault="001B637C">
      <w:pPr>
        <w:ind w:left="360"/>
        <w:rPr>
          <w:b/>
        </w:rPr>
      </w:pPr>
    </w:p>
    <w:p w14:paraId="4BD92708" w14:textId="77777777" w:rsidR="001B637C" w:rsidRDefault="00000000">
      <w:pPr>
        <w:rPr>
          <w:b/>
        </w:rPr>
      </w:pPr>
      <w:r>
        <w:rPr>
          <w:b/>
        </w:rPr>
        <w:t>“Il corpo umano. Anatomia, Fisiologia, Igiene” di Sandro Barbone e Teresa Infortuna. Editore: Lucisano. Seconda edizione (vol.2)</w:t>
      </w:r>
    </w:p>
    <w:p w14:paraId="64BB4B73" w14:textId="77777777" w:rsidR="001B637C" w:rsidRDefault="001B637C">
      <w:pPr>
        <w:rPr>
          <w:b/>
        </w:rPr>
      </w:pPr>
    </w:p>
    <w:p w14:paraId="004A6A0D" w14:textId="77777777" w:rsidR="001B637C" w:rsidRDefault="00000000">
      <w:pPr>
        <w:rPr>
          <w:b/>
        </w:rPr>
      </w:pPr>
      <w:r>
        <w:rPr>
          <w:b/>
        </w:rPr>
        <w:t>“Lezioni di Anatomia e fisiopatologia oculare per studenti di optometria” di Valerio Lupi Fabiano Editore</w:t>
      </w:r>
    </w:p>
    <w:p w14:paraId="41D31E15" w14:textId="77777777" w:rsidR="001B637C" w:rsidRDefault="001B637C">
      <w:pPr>
        <w:rPr>
          <w:b/>
        </w:rPr>
      </w:pPr>
    </w:p>
    <w:p w14:paraId="5B35EFA9" w14:textId="77777777" w:rsidR="001B63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Concetto di salute e malattia</w:t>
      </w:r>
    </w:p>
    <w:p w14:paraId="3F37FB10" w14:textId="77777777" w:rsidR="001B63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Criteri di classificazioni delle malattie</w:t>
      </w:r>
    </w:p>
    <w:p w14:paraId="61A77864" w14:textId="77777777" w:rsidR="001B63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Principi generali di epidemiologia</w:t>
      </w:r>
    </w:p>
    <w:p w14:paraId="70C27D86" w14:textId="76B42628" w:rsidR="001B637C" w:rsidRPr="007405C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7405C7">
        <w:t>I criteri di classificazione delle malattie</w:t>
      </w:r>
    </w:p>
    <w:p w14:paraId="70567EC7" w14:textId="7828B966" w:rsidR="001B63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  <w:r>
        <w:t>Le</w:t>
      </w:r>
      <w:r>
        <w:rPr>
          <w:color w:val="000000"/>
        </w:rPr>
        <w:t xml:space="preserve"> malattie più comuni e</w:t>
      </w:r>
      <w:r>
        <w:t xml:space="preserve"> le</w:t>
      </w:r>
      <w:r>
        <w:rPr>
          <w:color w:val="000000"/>
        </w:rPr>
        <w:t xml:space="preserve"> loro vie di trasmissione</w:t>
      </w:r>
    </w:p>
    <w:p w14:paraId="414A974C" w14:textId="77777777" w:rsidR="001B63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Cenni di </w:t>
      </w:r>
      <w:r>
        <w:rPr>
          <w:color w:val="000000"/>
        </w:rPr>
        <w:t xml:space="preserve">Igiene e </w:t>
      </w:r>
      <w:r>
        <w:t>S</w:t>
      </w:r>
      <w:r>
        <w:rPr>
          <w:color w:val="000000"/>
        </w:rPr>
        <w:t>icurezza nei luoghi di vita e di lavoro</w:t>
      </w:r>
    </w:p>
    <w:p w14:paraId="659B13F3" w14:textId="77777777" w:rsidR="001B63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L’oftalmoscopia, principi su cui si basa, aspetti oftalmoscopici del fondo oculare</w:t>
      </w:r>
    </w:p>
    <w:p w14:paraId="09594D36" w14:textId="77777777" w:rsidR="001B63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Fisiologia dell’apparato oculare e della visione</w:t>
      </w:r>
    </w:p>
    <w:p w14:paraId="41F3D4BA" w14:textId="77777777" w:rsidR="001B63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Anomalie dei mezzi diottrici e degli annessi oculari</w:t>
      </w:r>
    </w:p>
    <w:p w14:paraId="4234C1AE" w14:textId="77777777" w:rsidR="001B637C" w:rsidRDefault="001B637C"/>
    <w:p w14:paraId="7CF70F71" w14:textId="77777777" w:rsidR="001B637C" w:rsidRDefault="001B637C"/>
    <w:p w14:paraId="2D185D16" w14:textId="77777777" w:rsidR="001B637C" w:rsidRDefault="00000000">
      <w:pPr>
        <w:rPr>
          <w:b/>
        </w:rPr>
      </w:pPr>
      <w:r>
        <w:rPr>
          <w:b/>
        </w:rPr>
        <w:t>PROGRAMMA DISCIPLINARE CLASSE QUINTA</w:t>
      </w:r>
    </w:p>
    <w:p w14:paraId="1AB7D25C" w14:textId="77777777" w:rsidR="001B637C" w:rsidRDefault="00000000">
      <w:pPr>
        <w:rPr>
          <w:b/>
        </w:rPr>
      </w:pPr>
      <w:r>
        <w:rPr>
          <w:b/>
        </w:rPr>
        <w:t>Libri di testo in adozione:</w:t>
      </w:r>
    </w:p>
    <w:p w14:paraId="190DE433" w14:textId="77777777" w:rsidR="001B637C" w:rsidRDefault="001B637C">
      <w:pPr>
        <w:ind w:left="360"/>
        <w:rPr>
          <w:b/>
        </w:rPr>
      </w:pPr>
    </w:p>
    <w:p w14:paraId="44F824A9" w14:textId="77777777" w:rsidR="001B637C" w:rsidRDefault="00000000">
      <w:pPr>
        <w:rPr>
          <w:b/>
        </w:rPr>
      </w:pPr>
      <w:r>
        <w:rPr>
          <w:b/>
        </w:rPr>
        <w:t>“Il corpo umano. Anatomia, Fisiologia, Igiene” di Sandro Barbone e Teresa Infortuna. Editore: Lucisano. Seconda edizione (vol.3)</w:t>
      </w:r>
    </w:p>
    <w:p w14:paraId="7EA340B5" w14:textId="77777777" w:rsidR="001B637C" w:rsidRDefault="001B637C">
      <w:pPr>
        <w:rPr>
          <w:b/>
        </w:rPr>
      </w:pPr>
    </w:p>
    <w:p w14:paraId="57F64D5F" w14:textId="77777777" w:rsidR="001B637C" w:rsidRDefault="00000000">
      <w:pPr>
        <w:rPr>
          <w:b/>
        </w:rPr>
      </w:pPr>
      <w:r>
        <w:rPr>
          <w:b/>
        </w:rPr>
        <w:t>“Lezioni di Anatomia e fisiopatologia oculare per studenti di optometria” di Valerio Lupi Fabiano Editore</w:t>
      </w:r>
    </w:p>
    <w:p w14:paraId="1F032BD3" w14:textId="77777777" w:rsidR="001B637C" w:rsidRDefault="001B637C">
      <w:pPr>
        <w:rPr>
          <w:b/>
        </w:rPr>
      </w:pPr>
    </w:p>
    <w:p w14:paraId="57B51039" w14:textId="77777777" w:rsidR="001B63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Introduzione alla patologia</w:t>
      </w:r>
    </w:p>
    <w:p w14:paraId="583C3AFD" w14:textId="77777777" w:rsidR="001B63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Stati infiammatori e degenerativi degli apparati oculari e cenni sui tumori.</w:t>
      </w:r>
    </w:p>
    <w:p w14:paraId="19AFE569" w14:textId="77777777" w:rsidR="001B63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Patologie degli annessi oculari (esoftalmo, delle palpebre, della congiuntiva, dell’apparato lacrimale) e del bulbo oculare (della cornea, del cristallino, dell’idrodinamica, della retina, del nervo ottico)</w:t>
      </w:r>
    </w:p>
    <w:p w14:paraId="0C00BD65" w14:textId="77777777" w:rsidR="001B63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Alterazioni del tono oculare e dell’umor vitreo.</w:t>
      </w:r>
    </w:p>
    <w:p w14:paraId="136E93C7" w14:textId="77777777" w:rsidR="001B63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Alterazioni della retina e della visione binoculare.</w:t>
      </w:r>
    </w:p>
    <w:p w14:paraId="1427E2BB" w14:textId="77777777" w:rsidR="001B63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Alterazioni del campo visivo.</w:t>
      </w:r>
    </w:p>
    <w:p w14:paraId="5931E491" w14:textId="77777777" w:rsidR="001B637C" w:rsidRDefault="001B637C"/>
    <w:p w14:paraId="6A1A7733" w14:textId="77777777" w:rsidR="001B637C" w:rsidRDefault="001B637C">
      <w:pPr>
        <w:tabs>
          <w:tab w:val="center" w:pos="4819"/>
          <w:tab w:val="right" w:pos="9638"/>
        </w:tabs>
      </w:pPr>
    </w:p>
    <w:sectPr w:rsidR="001B637C">
      <w:foot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B727F" w14:textId="77777777" w:rsidR="00112EB9" w:rsidRDefault="00112EB9">
      <w:pPr>
        <w:spacing w:line="240" w:lineRule="auto"/>
      </w:pPr>
      <w:r>
        <w:separator/>
      </w:r>
    </w:p>
  </w:endnote>
  <w:endnote w:type="continuationSeparator" w:id="0">
    <w:p w14:paraId="5C4AB024" w14:textId="77777777" w:rsidR="00112EB9" w:rsidRDefault="00112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044AA6D-D69B-41CD-80F3-6FFD26CAB8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F02B06E-3332-421C-A705-BB7A84FF60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B5C7B43-FA18-4135-8351-F30AAF961D63}"/>
    <w:embedBold r:id="rId4" w:fontKey="{CCB535EA-26DA-49B6-903B-99185F2AB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9EA62" w14:textId="77777777" w:rsidR="001B637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7405C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C01" w14:textId="77777777" w:rsidR="001B637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7405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876C4" w14:textId="77777777" w:rsidR="00112EB9" w:rsidRDefault="00112EB9">
      <w:pPr>
        <w:spacing w:line="240" w:lineRule="auto"/>
      </w:pPr>
      <w:r>
        <w:separator/>
      </w:r>
    </w:p>
  </w:footnote>
  <w:footnote w:type="continuationSeparator" w:id="0">
    <w:p w14:paraId="30883409" w14:textId="77777777" w:rsidR="00112EB9" w:rsidRDefault="00112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6F0FB" w14:textId="77777777" w:rsidR="001B637C" w:rsidRDefault="001B637C">
    <w:pPr>
      <w:widowControl w:val="0"/>
      <w:rPr>
        <w:rFonts w:ascii="Calibri" w:eastAsia="Calibri" w:hAnsi="Calibri" w:cs="Calibri"/>
      </w:rPr>
    </w:pPr>
  </w:p>
  <w:tbl>
    <w:tblPr>
      <w:tblStyle w:val="a1"/>
      <w:tblW w:w="9628" w:type="dxa"/>
      <w:tblInd w:w="-108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1568"/>
      <w:gridCol w:w="5647"/>
      <w:gridCol w:w="997"/>
      <w:gridCol w:w="1416"/>
    </w:tblGrid>
    <w:tr w:rsidR="001B637C" w14:paraId="21E22372" w14:textId="77777777">
      <w:trPr>
        <w:trHeight w:val="1365"/>
      </w:trPr>
      <w:tc>
        <w:tcPr>
          <w:tcW w:w="1568" w:type="dxa"/>
        </w:tcPr>
        <w:p w14:paraId="5DB79D21" w14:textId="77777777" w:rsidR="001B637C" w:rsidRDefault="00000000">
          <w:pPr>
            <w:tabs>
              <w:tab w:val="center" w:pos="4819"/>
              <w:tab w:val="right" w:pos="9638"/>
            </w:tabs>
            <w:jc w:val="both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noProof/>
            </w:rPr>
            <w:drawing>
              <wp:inline distT="0" distB="0" distL="0" distR="0" wp14:anchorId="63A582E5" wp14:editId="5F9B7C2F">
                <wp:extent cx="869557" cy="771259"/>
                <wp:effectExtent l="0" t="0" r="0" b="0"/>
                <wp:docPr id="3" name="image1.jpg" descr="LOGO1_prova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1_prova 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557" cy="7712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4" w:type="dxa"/>
          <w:gridSpan w:val="2"/>
        </w:tcPr>
        <w:p w14:paraId="6813F3EC" w14:textId="77777777" w:rsidR="001B637C" w:rsidRDefault="00000000">
          <w:pPr>
            <w:jc w:val="center"/>
            <w:rPr>
              <w:rFonts w:ascii="Calibri" w:eastAsia="Calibri" w:hAnsi="Calibri" w:cs="Calibri"/>
              <w:color w:val="7F7F7F"/>
              <w:sz w:val="48"/>
              <w:szCs w:val="48"/>
            </w:rPr>
          </w:pPr>
          <w:r>
            <w:rPr>
              <w:rFonts w:ascii="Calibri" w:eastAsia="Calibri" w:hAnsi="Calibri" w:cs="Calibri"/>
              <w:b/>
              <w:sz w:val="18"/>
              <w:szCs w:val="18"/>
            </w:rPr>
            <w:t>Ministero dell’Istruzione, dell’Università e della Ricerca</w:t>
          </w:r>
          <w:r>
            <w:rPr>
              <w:rFonts w:ascii="Calibri" w:eastAsia="Calibri" w:hAnsi="Calibri" w:cs="Calibri"/>
              <w:b/>
              <w:sz w:val="18"/>
              <w:szCs w:val="18"/>
            </w:rPr>
            <w:br/>
            <w:t>ISTITUTO PROFESSIONALE di STATO per i SERVIZI COMMERCIALI – TURISTICI - SOCIALI</w:t>
          </w:r>
          <w:r>
            <w:rPr>
              <w:rFonts w:ascii="Calibri" w:eastAsia="Calibri" w:hAnsi="Calibri" w:cs="Calibri"/>
              <w:b/>
              <w:sz w:val="18"/>
              <w:szCs w:val="18"/>
            </w:rPr>
            <w:br/>
          </w:r>
          <w:r>
            <w:rPr>
              <w:rFonts w:ascii="Calibri" w:eastAsia="Calibri" w:hAnsi="Calibri" w:cs="Calibri"/>
              <w:color w:val="7F7F7F"/>
              <w:sz w:val="48"/>
              <w:szCs w:val="48"/>
            </w:rPr>
            <w:t>L. EINAUDI</w:t>
          </w:r>
        </w:p>
        <w:p w14:paraId="60818504" w14:textId="77777777" w:rsidR="001B637C" w:rsidRDefault="00000000">
          <w:pPr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Presidenza-Uffici amministrativi Varese, Via Bertolone n.7</w:t>
          </w:r>
        </w:p>
        <w:p w14:paraId="63D8D3F3" w14:textId="77777777" w:rsidR="001B637C" w:rsidRDefault="00000000">
          <w:pPr>
            <w:tabs>
              <w:tab w:val="center" w:pos="4819"/>
              <w:tab w:val="right" w:pos="9638"/>
            </w:tabs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Tel. 0332-239209 - Fax 0332 – 830340</w:t>
          </w:r>
        </w:p>
        <w:p w14:paraId="104807E4" w14:textId="77777777" w:rsidR="001B637C" w:rsidRDefault="001B637C">
          <w:pPr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Calibri"/>
              <w:b/>
            </w:rPr>
          </w:pPr>
        </w:p>
      </w:tc>
      <w:tc>
        <w:tcPr>
          <w:tcW w:w="1416" w:type="dxa"/>
        </w:tcPr>
        <w:p w14:paraId="36637DE9" w14:textId="77777777" w:rsidR="001B637C" w:rsidRDefault="00000000">
          <w:pPr>
            <w:tabs>
              <w:tab w:val="center" w:pos="4819"/>
              <w:tab w:val="right" w:pos="9638"/>
            </w:tabs>
            <w:jc w:val="right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noProof/>
            </w:rPr>
            <w:drawing>
              <wp:inline distT="0" distB="0" distL="0" distR="0" wp14:anchorId="6AF7ED9D" wp14:editId="4463985F">
                <wp:extent cx="705015" cy="758658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015" cy="75865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1B637C" w14:paraId="442E853B" w14:textId="77777777">
      <w:tc>
        <w:tcPr>
          <w:tcW w:w="1568" w:type="dxa"/>
        </w:tcPr>
        <w:p w14:paraId="7B76910C" w14:textId="77777777" w:rsidR="001B637C" w:rsidRDefault="001B637C">
          <w:pPr>
            <w:tabs>
              <w:tab w:val="center" w:pos="4819"/>
              <w:tab w:val="right" w:pos="9638"/>
            </w:tabs>
            <w:rPr>
              <w:rFonts w:ascii="Calibri" w:eastAsia="Calibri" w:hAnsi="Calibri" w:cs="Calibri"/>
              <w:sz w:val="8"/>
              <w:szCs w:val="8"/>
            </w:rPr>
          </w:pPr>
        </w:p>
      </w:tc>
      <w:tc>
        <w:tcPr>
          <w:tcW w:w="5647" w:type="dxa"/>
        </w:tcPr>
        <w:p w14:paraId="0EA761E3" w14:textId="77777777" w:rsidR="001B637C" w:rsidRDefault="001B637C">
          <w:pPr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Calibri"/>
              <w:sz w:val="8"/>
              <w:szCs w:val="8"/>
            </w:rPr>
          </w:pPr>
        </w:p>
      </w:tc>
      <w:tc>
        <w:tcPr>
          <w:tcW w:w="997" w:type="dxa"/>
        </w:tcPr>
        <w:p w14:paraId="466303ED" w14:textId="77777777" w:rsidR="001B637C" w:rsidRDefault="001B637C">
          <w:pPr>
            <w:tabs>
              <w:tab w:val="center" w:pos="4819"/>
              <w:tab w:val="right" w:pos="9638"/>
            </w:tabs>
            <w:rPr>
              <w:rFonts w:ascii="Calibri" w:eastAsia="Calibri" w:hAnsi="Calibri" w:cs="Calibri"/>
              <w:sz w:val="8"/>
              <w:szCs w:val="8"/>
            </w:rPr>
          </w:pPr>
        </w:p>
      </w:tc>
      <w:tc>
        <w:tcPr>
          <w:tcW w:w="1416" w:type="dxa"/>
        </w:tcPr>
        <w:p w14:paraId="5F9A795B" w14:textId="77777777" w:rsidR="001B637C" w:rsidRDefault="001B637C">
          <w:pPr>
            <w:tabs>
              <w:tab w:val="center" w:pos="4819"/>
              <w:tab w:val="right" w:pos="9638"/>
            </w:tabs>
            <w:rPr>
              <w:rFonts w:ascii="Calibri" w:eastAsia="Calibri" w:hAnsi="Calibri" w:cs="Calibri"/>
              <w:sz w:val="8"/>
              <w:szCs w:val="8"/>
            </w:rPr>
          </w:pPr>
        </w:p>
      </w:tc>
    </w:tr>
    <w:tr w:rsidR="001B637C" w14:paraId="67EBE2AC" w14:textId="77777777">
      <w:tc>
        <w:tcPr>
          <w:tcW w:w="9628" w:type="dxa"/>
          <w:gridSpan w:val="4"/>
        </w:tcPr>
        <w:p w14:paraId="47B9F4DC" w14:textId="77777777" w:rsidR="001B637C" w:rsidRDefault="00000000">
          <w:pPr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        PROGRAMMA PER CANDIDATI AD ESAMI INTEGRATIVI E DI IDONEITÀ</w:t>
          </w:r>
        </w:p>
        <w:p w14:paraId="43F38040" w14:textId="77777777" w:rsidR="001B637C" w:rsidRDefault="001B637C">
          <w:pPr>
            <w:rPr>
              <w:b/>
              <w:sz w:val="24"/>
              <w:szCs w:val="24"/>
            </w:rPr>
          </w:pPr>
        </w:p>
        <w:p w14:paraId="6F8BF967" w14:textId="77777777" w:rsidR="001B637C" w:rsidRDefault="00000000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DISCIPLINE SANITARIE </w:t>
          </w:r>
          <w:proofErr w:type="spellStart"/>
          <w:r>
            <w:rPr>
              <w:b/>
              <w:sz w:val="24"/>
              <w:szCs w:val="24"/>
            </w:rPr>
            <w:t>a.s.</w:t>
          </w:r>
          <w:proofErr w:type="spellEnd"/>
          <w:r>
            <w:rPr>
              <w:b/>
              <w:sz w:val="24"/>
              <w:szCs w:val="24"/>
            </w:rPr>
            <w:t xml:space="preserve"> 2025/2026</w:t>
          </w:r>
        </w:p>
      </w:tc>
    </w:tr>
    <w:tr w:rsidR="001B637C" w14:paraId="10518F6E" w14:textId="77777777">
      <w:tc>
        <w:tcPr>
          <w:tcW w:w="9628" w:type="dxa"/>
          <w:gridSpan w:val="4"/>
        </w:tcPr>
        <w:p w14:paraId="5F63BCDF" w14:textId="77777777" w:rsidR="001B637C" w:rsidRDefault="001B637C">
          <w:pPr>
            <w:rPr>
              <w:b/>
              <w:sz w:val="24"/>
              <w:szCs w:val="24"/>
            </w:rPr>
          </w:pPr>
        </w:p>
      </w:tc>
    </w:tr>
  </w:tbl>
  <w:p w14:paraId="23F82F54" w14:textId="77777777" w:rsidR="001B637C" w:rsidRDefault="001B637C">
    <w:pPr>
      <w:tabs>
        <w:tab w:val="center" w:pos="4819"/>
        <w:tab w:val="right" w:pos="9638"/>
      </w:tabs>
      <w:spacing w:line="240" w:lineRule="auto"/>
      <w:rPr>
        <w:rFonts w:ascii="Calibri" w:eastAsia="Calibri" w:hAnsi="Calibri" w:cs="Calibri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852B3"/>
    <w:multiLevelType w:val="multilevel"/>
    <w:tmpl w:val="D754379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1336AA"/>
    <w:multiLevelType w:val="multilevel"/>
    <w:tmpl w:val="BBF6578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DA0DA8"/>
    <w:multiLevelType w:val="multilevel"/>
    <w:tmpl w:val="38DCA2E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1D4171"/>
    <w:multiLevelType w:val="multilevel"/>
    <w:tmpl w:val="A498C3D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591ECD"/>
    <w:multiLevelType w:val="multilevel"/>
    <w:tmpl w:val="A35471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36748347">
    <w:abstractNumId w:val="3"/>
  </w:num>
  <w:num w:numId="2" w16cid:durableId="1667050927">
    <w:abstractNumId w:val="1"/>
  </w:num>
  <w:num w:numId="3" w16cid:durableId="215900496">
    <w:abstractNumId w:val="0"/>
  </w:num>
  <w:num w:numId="4" w16cid:durableId="2111586621">
    <w:abstractNumId w:val="2"/>
  </w:num>
  <w:num w:numId="5" w16cid:durableId="2264982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7C"/>
    <w:rsid w:val="00112EB9"/>
    <w:rsid w:val="001B637C"/>
    <w:rsid w:val="00730465"/>
    <w:rsid w:val="0074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1B6FE"/>
  <w15:docId w15:val="{2B252D7F-D220-4EBD-8B8C-7D200101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A431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4316"/>
  </w:style>
  <w:style w:type="paragraph" w:styleId="Pidipagina">
    <w:name w:val="footer"/>
    <w:basedOn w:val="Normale"/>
    <w:link w:val="PidipaginaCarattere"/>
    <w:uiPriority w:val="99"/>
    <w:unhideWhenUsed/>
    <w:rsid w:val="00EA431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4316"/>
  </w:style>
  <w:style w:type="paragraph" w:styleId="Paragrafoelenco">
    <w:name w:val="List Paragraph"/>
    <w:basedOn w:val="Normale"/>
    <w:uiPriority w:val="34"/>
    <w:qFormat/>
    <w:rsid w:val="00CB7B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7VLGzZZmnNSAVT7VFdZ6/uFspg==">CgMxLjA4AHIhMThYOUFkRENyUTQ1SVBlRU41SkJzWERKR2tNTUlCQWI4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Maria Morvillo</dc:creator>
  <cp:lastModifiedBy>Chiara Maria Morvillo</cp:lastModifiedBy>
  <cp:revision>2</cp:revision>
  <dcterms:created xsi:type="dcterms:W3CDTF">2025-05-05T12:08:00Z</dcterms:created>
  <dcterms:modified xsi:type="dcterms:W3CDTF">2025-05-05T12:08:00Z</dcterms:modified>
</cp:coreProperties>
</file>